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>Приложение к Положению</w:t>
      </w:r>
    </w:p>
    <w:p w:rsidR="009A4032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>о муниципальном контроле</w:t>
      </w:r>
    </w:p>
    <w:p w:rsidR="00AB1940" w:rsidRPr="00AB1940" w:rsidRDefault="009A4032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 сфере благоустройства</w:t>
      </w:r>
      <w:r w:rsidR="00AB1940" w:rsidRPr="00AB1940">
        <w:rPr>
          <w:rStyle w:val="bumpedfont15"/>
          <w:sz w:val="28"/>
          <w:szCs w:val="28"/>
        </w:rPr>
        <w:t xml:space="preserve">, </w:t>
      </w:r>
    </w:p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 xml:space="preserve">утвержденном решением </w:t>
      </w:r>
    </w:p>
    <w:p w:rsidR="00AB1940" w:rsidRP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sz w:val="28"/>
          <w:szCs w:val="28"/>
        </w:rPr>
      </w:pPr>
      <w:r w:rsidRPr="00AB1940">
        <w:rPr>
          <w:rStyle w:val="bumpedfont15"/>
          <w:sz w:val="28"/>
          <w:szCs w:val="28"/>
        </w:rPr>
        <w:t xml:space="preserve">Совета депутатов от </w:t>
      </w:r>
      <w:r w:rsidR="009A4032">
        <w:rPr>
          <w:rStyle w:val="bumpedfont15"/>
          <w:sz w:val="28"/>
          <w:szCs w:val="28"/>
        </w:rPr>
        <w:t>26.05.2022</w:t>
      </w:r>
      <w:r w:rsidRPr="00AB1940">
        <w:rPr>
          <w:rStyle w:val="bumpedfont15"/>
          <w:sz w:val="28"/>
          <w:szCs w:val="28"/>
        </w:rPr>
        <w:t xml:space="preserve"> № </w:t>
      </w:r>
      <w:r w:rsidR="009A4032">
        <w:rPr>
          <w:rStyle w:val="bumpedfont15"/>
          <w:sz w:val="28"/>
          <w:szCs w:val="28"/>
        </w:rPr>
        <w:t>213</w:t>
      </w:r>
    </w:p>
    <w:p w:rsidR="00AB1940" w:rsidRDefault="00AB1940" w:rsidP="00AB1940">
      <w:pPr>
        <w:pStyle w:val="s44"/>
        <w:spacing w:before="0" w:beforeAutospacing="0" w:after="0" w:afterAutospacing="0"/>
        <w:jc w:val="right"/>
        <w:rPr>
          <w:rStyle w:val="bumpedfont15"/>
          <w:b/>
          <w:bCs/>
          <w:sz w:val="28"/>
          <w:szCs w:val="28"/>
        </w:rPr>
      </w:pPr>
    </w:p>
    <w:p w:rsidR="009A4032" w:rsidRPr="005E6206" w:rsidRDefault="009A4032" w:rsidP="009A4032">
      <w:pPr>
        <w:pStyle w:val="s56"/>
        <w:spacing w:before="0" w:beforeAutospacing="0" w:after="0" w:afterAutospacing="0"/>
        <w:jc w:val="center"/>
        <w:rPr>
          <w:sz w:val="28"/>
          <w:szCs w:val="28"/>
        </w:rPr>
      </w:pPr>
      <w:r w:rsidRPr="005E6206">
        <w:rPr>
          <w:rStyle w:val="bumpedfont15"/>
          <w:b/>
          <w:bCs/>
          <w:sz w:val="28"/>
          <w:szCs w:val="28"/>
        </w:rPr>
        <w:t>Ключевые показатели муниципального контроля и их целевые значения, индикативные показатели</w:t>
      </w:r>
    </w:p>
    <w:p w:rsidR="009A4032" w:rsidRPr="005E6206" w:rsidRDefault="009A4032" w:rsidP="009A4032">
      <w:pPr>
        <w:pStyle w:val="s40"/>
        <w:spacing w:before="0" w:beforeAutospacing="0" w:after="0" w:afterAutospacing="0"/>
        <w:jc w:val="both"/>
        <w:rPr>
          <w:sz w:val="28"/>
          <w:szCs w:val="28"/>
        </w:rPr>
      </w:pPr>
      <w:r w:rsidRPr="005E6206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7"/>
        <w:gridCol w:w="1528"/>
      </w:tblGrid>
      <w:tr w:rsidR="009A4032" w:rsidRPr="005E6206" w:rsidTr="00B76A4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59"/>
              <w:spacing w:before="0" w:beforeAutospacing="0" w:after="0" w:afterAutospacing="0"/>
              <w:ind w:left="15" w:right="104" w:firstLine="269"/>
              <w:jc w:val="center"/>
              <w:rPr>
                <w:sz w:val="28"/>
                <w:szCs w:val="28"/>
              </w:rPr>
            </w:pPr>
            <w:r w:rsidRPr="005E6206">
              <w:rPr>
                <w:rStyle w:val="s58"/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28"/>
                <w:szCs w:val="28"/>
              </w:rPr>
            </w:pPr>
            <w:r w:rsidRPr="005E6206">
              <w:rPr>
                <w:rStyle w:val="s58"/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9A4032" w:rsidRPr="005E6206" w:rsidTr="00B76A4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105" w:lineRule="atLeast"/>
              <w:ind w:left="15" w:right="104" w:firstLine="269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  <w:proofErr w:type="gramStart"/>
            <w:r w:rsidRPr="005E6206">
              <w:rPr>
                <w:rStyle w:val="s11"/>
                <w:sz w:val="28"/>
                <w:szCs w:val="28"/>
              </w:rPr>
              <w:t>законодательства  в</w:t>
            </w:r>
            <w:proofErr w:type="gramEnd"/>
            <w:r w:rsidRPr="005E6206">
              <w:rPr>
                <w:rStyle w:val="s11"/>
                <w:sz w:val="28"/>
                <w:szCs w:val="28"/>
              </w:rPr>
              <w:t xml:space="preserve">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70 %</w:t>
            </w:r>
          </w:p>
        </w:tc>
      </w:tr>
      <w:tr w:rsidR="009A4032" w:rsidRPr="005E6206" w:rsidTr="00B76A4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105" w:lineRule="atLeast"/>
              <w:ind w:left="15" w:right="104" w:firstLine="269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Процент выполнения плана пр</w:t>
            </w:r>
            <w:bookmarkStart w:id="0" w:name="_GoBack"/>
            <w:bookmarkEnd w:id="0"/>
            <w:r w:rsidRPr="005E6206">
              <w:rPr>
                <w:rStyle w:val="s11"/>
                <w:sz w:val="28"/>
                <w:szCs w:val="28"/>
              </w:rPr>
              <w:t>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100 %</w:t>
            </w:r>
          </w:p>
        </w:tc>
      </w:tr>
      <w:tr w:rsidR="009A4032" w:rsidRPr="005E6206" w:rsidTr="00B76A4E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90" w:lineRule="atLeast"/>
              <w:ind w:left="15" w:right="104" w:firstLine="269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0 %</w:t>
            </w:r>
          </w:p>
        </w:tc>
      </w:tr>
      <w:tr w:rsidR="009A4032" w:rsidRPr="005E6206" w:rsidTr="00B76A4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120" w:lineRule="atLeast"/>
              <w:ind w:left="15" w:right="104" w:firstLine="269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 xml:space="preserve">Процент отмененных результатов </w:t>
            </w:r>
            <w:proofErr w:type="gramStart"/>
            <w:r w:rsidRPr="005E6206">
              <w:rPr>
                <w:rStyle w:val="s11"/>
                <w:sz w:val="28"/>
                <w:szCs w:val="28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0 %</w:t>
            </w:r>
          </w:p>
        </w:tc>
      </w:tr>
      <w:tr w:rsidR="009A4032" w:rsidRPr="005E6206" w:rsidTr="00B76A4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105" w:lineRule="atLeast"/>
              <w:ind w:left="15" w:right="104" w:firstLine="269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5 %</w:t>
            </w:r>
          </w:p>
        </w:tc>
      </w:tr>
      <w:tr w:rsidR="009A4032" w:rsidRPr="005E6206" w:rsidTr="00B76A4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105" w:lineRule="atLeast"/>
              <w:ind w:left="15" w:right="104" w:firstLine="269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Процент внесенных судебных решений о назначении административного наказания </w:t>
            </w:r>
            <w:r w:rsidRPr="005E6206">
              <w:rPr>
                <w:sz w:val="28"/>
                <w:szCs w:val="28"/>
              </w:rPr>
              <w:br/>
            </w:r>
            <w:r w:rsidRPr="005E6206">
              <w:rPr>
                <w:rStyle w:val="s11"/>
                <w:sz w:val="28"/>
                <w:szCs w:val="2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95 %</w:t>
            </w:r>
          </w:p>
        </w:tc>
      </w:tr>
      <w:tr w:rsidR="009A4032" w:rsidRPr="005E6206" w:rsidTr="00B76A4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1"/>
              <w:spacing w:before="0" w:beforeAutospacing="0" w:after="0" w:afterAutospacing="0" w:line="135" w:lineRule="atLeast"/>
              <w:ind w:left="15" w:right="104" w:firstLine="269"/>
              <w:jc w:val="both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5E6206">
              <w:rPr>
                <w:rStyle w:val="s11"/>
                <w:sz w:val="28"/>
                <w:szCs w:val="28"/>
              </w:rPr>
              <w:t>от общего количества</w:t>
            </w:r>
            <w:proofErr w:type="gramEnd"/>
            <w:r w:rsidRPr="005E6206">
              <w:rPr>
                <w:rStyle w:val="s11"/>
                <w:sz w:val="28"/>
                <w:szCs w:val="28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032" w:rsidRPr="005E6206" w:rsidRDefault="009A4032" w:rsidP="00B76A4E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28"/>
                <w:szCs w:val="28"/>
              </w:rPr>
            </w:pPr>
            <w:r w:rsidRPr="005E6206">
              <w:rPr>
                <w:rStyle w:val="s11"/>
                <w:sz w:val="28"/>
                <w:szCs w:val="28"/>
              </w:rPr>
              <w:t>0 %</w:t>
            </w:r>
          </w:p>
        </w:tc>
      </w:tr>
    </w:tbl>
    <w:p w:rsidR="009A4032" w:rsidRPr="005E6206" w:rsidRDefault="009A4032" w:rsidP="009A403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5E6206">
        <w:rPr>
          <w:sz w:val="28"/>
          <w:szCs w:val="28"/>
        </w:rPr>
        <w:t> </w:t>
      </w:r>
    </w:p>
    <w:p w:rsidR="009A4032" w:rsidRPr="005E6206" w:rsidRDefault="009A4032" w:rsidP="009A403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5E6206">
        <w:rPr>
          <w:rStyle w:val="bumpedfont15"/>
          <w:b/>
          <w:bCs/>
          <w:sz w:val="28"/>
          <w:szCs w:val="28"/>
        </w:rPr>
        <w:t>Индикативные показатели</w:t>
      </w:r>
    </w:p>
    <w:p w:rsidR="009A4032" w:rsidRPr="005E6206" w:rsidRDefault="009A4032" w:rsidP="009A4032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5E6206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347"/>
        <w:gridCol w:w="1466"/>
        <w:gridCol w:w="2479"/>
        <w:gridCol w:w="938"/>
        <w:gridCol w:w="1663"/>
      </w:tblGrid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7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93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7"/>
                <w:b/>
                <w:bCs/>
                <w:sz w:val="28"/>
                <w:szCs w:val="28"/>
              </w:rPr>
              <w:t>проведенных мероприятий</w:t>
            </w: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1.1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Выполняемость плановых (рейдовых) заданий (осмотров)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Врз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= (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РЗф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РЗп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) x 100</w:t>
            </w:r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Врз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выполняемость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плановых заданий (осмотров) %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РЗф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 xml:space="preserve">– </w:t>
            </w:r>
            <w:r w:rsidRPr="005E6206">
              <w:rPr>
                <w:rStyle w:val="s68"/>
                <w:sz w:val="28"/>
                <w:szCs w:val="28"/>
              </w:rPr>
              <w:t>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проведенных плановых заданий (осмотров)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lastRenderedPageBreak/>
              <w:t>РЗп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утвержденных плановых заданий (осмотров) (ед.)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lastRenderedPageBreak/>
              <w:t>100 %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Утвержденные плановые (рейдовые) задания (осмотры)</w:t>
            </w: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1.2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Ввн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= (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) x 100</w:t>
            </w:r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Ввн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выполняемость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внеплановых проверок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Рф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проведенных внеплановых проверок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Рп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распоряжений на проведение внеплановых проверок (ед.)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100 %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9A4032" w:rsidRPr="005E6206" w:rsidTr="00B76A4E">
        <w:trPr>
          <w:trHeight w:val="1905"/>
        </w:trPr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1.3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Ж x 100 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Ж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жалоб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проведенных проверок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1.4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Пн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x 100 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Пн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проверок, признанных недействительными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проведенных проверок (ед.)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1.5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По x 100 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 xml:space="preserve">По 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проверки</w:t>
            </w:r>
            <w:r>
              <w:rPr>
                <w:rStyle w:val="s68"/>
                <w:sz w:val="28"/>
                <w:szCs w:val="28"/>
              </w:rPr>
              <w:t xml:space="preserve">, </w:t>
            </w:r>
            <w:r w:rsidRPr="005E6206">
              <w:rPr>
                <w:rStyle w:val="s68"/>
                <w:sz w:val="28"/>
                <w:szCs w:val="28"/>
              </w:rPr>
              <w:t>не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проведенные по причине отсутствия проверяемого лица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Пф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проведенных проверок (ед.)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30 %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1.6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 xml:space="preserve">Доля заявлений, направленных на согласование в прокуратуру </w:t>
            </w:r>
            <w:r w:rsidRPr="005E6206">
              <w:rPr>
                <w:rStyle w:val="s68"/>
                <w:sz w:val="28"/>
                <w:szCs w:val="28"/>
              </w:rPr>
              <w:lastRenderedPageBreak/>
              <w:t>о проведении внеплановых проверок, в согласовании которых было отказано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lastRenderedPageBreak/>
              <w:t>Кзо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х 100 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Кзо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 xml:space="preserve">заявлений, по которым пришел отказ </w:t>
            </w:r>
            <w:r w:rsidRPr="005E6206">
              <w:rPr>
                <w:rStyle w:val="s68"/>
                <w:sz w:val="28"/>
                <w:szCs w:val="28"/>
              </w:rPr>
              <w:lastRenderedPageBreak/>
              <w:t>в согласовании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Кпз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поданных на согласование заявлений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lastRenderedPageBreak/>
              <w:t>10 %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1.7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Кнм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х 100 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К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нм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материалов, направленных в уполномоченные органы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Квн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выявленных нарушений (ед.)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100 %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1.8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Шт.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7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93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7"/>
                <w:b/>
                <w:bCs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2.1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Чел.</w:t>
            </w: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A4032" w:rsidRPr="005E6206" w:rsidTr="00B76A4E">
        <w:tc>
          <w:tcPr>
            <w:tcW w:w="672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2.2</w:t>
            </w:r>
            <w:r>
              <w:rPr>
                <w:rStyle w:val="s68"/>
                <w:sz w:val="28"/>
                <w:szCs w:val="28"/>
              </w:rPr>
              <w:t xml:space="preserve">    </w:t>
            </w:r>
          </w:p>
        </w:tc>
        <w:tc>
          <w:tcPr>
            <w:tcW w:w="234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466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Км /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Кр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= </w:t>
            </w:r>
            <w:proofErr w:type="spellStart"/>
            <w:r w:rsidRPr="005E6206">
              <w:rPr>
                <w:rStyle w:val="s68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7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E6206">
              <w:rPr>
                <w:rStyle w:val="s68"/>
                <w:sz w:val="28"/>
                <w:szCs w:val="28"/>
              </w:rPr>
              <w:t>Км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контрольных мероприятий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Кр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количество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работников органа муниципального контроля (ед.)</w:t>
            </w:r>
          </w:p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5E6206">
              <w:rPr>
                <w:rStyle w:val="s68"/>
                <w:sz w:val="28"/>
                <w:szCs w:val="28"/>
              </w:rPr>
              <w:t>Нк</w:t>
            </w:r>
            <w:proofErr w:type="spellEnd"/>
            <w:r w:rsidRPr="005E6206">
              <w:rPr>
                <w:rStyle w:val="s68"/>
                <w:sz w:val="28"/>
                <w:szCs w:val="28"/>
              </w:rPr>
              <w:t> </w:t>
            </w:r>
            <w:r>
              <w:rPr>
                <w:rStyle w:val="s68"/>
                <w:sz w:val="28"/>
                <w:szCs w:val="28"/>
              </w:rPr>
              <w:t>–</w:t>
            </w:r>
            <w:r w:rsidRPr="005E6206">
              <w:rPr>
                <w:rStyle w:val="s68"/>
                <w:sz w:val="28"/>
                <w:szCs w:val="28"/>
              </w:rPr>
              <w:t xml:space="preserve"> нагрузка</w:t>
            </w:r>
            <w:r>
              <w:rPr>
                <w:rStyle w:val="s68"/>
                <w:sz w:val="28"/>
                <w:szCs w:val="28"/>
              </w:rPr>
              <w:t xml:space="preserve"> </w:t>
            </w:r>
            <w:r w:rsidRPr="005E6206">
              <w:rPr>
                <w:rStyle w:val="s68"/>
                <w:sz w:val="28"/>
                <w:szCs w:val="28"/>
              </w:rPr>
              <w:t>на 1 работника (ед.)</w:t>
            </w:r>
          </w:p>
        </w:tc>
        <w:tc>
          <w:tcPr>
            <w:tcW w:w="93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A4032" w:rsidRPr="005E6206" w:rsidRDefault="009A4032" w:rsidP="00B76A4E">
            <w:pPr>
              <w:pStyle w:val="s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A4032" w:rsidRPr="005E6206" w:rsidRDefault="009A4032" w:rsidP="009A4032"/>
    <w:p w:rsidR="00585AEC" w:rsidRDefault="00585AEC" w:rsidP="009A4032">
      <w:pPr>
        <w:pStyle w:val="s44"/>
        <w:spacing w:before="0" w:beforeAutospacing="0" w:after="0" w:afterAutospacing="0"/>
        <w:jc w:val="center"/>
      </w:pPr>
    </w:p>
    <w:sectPr w:rsidR="0058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40"/>
    <w:rsid w:val="00585AEC"/>
    <w:rsid w:val="009A4032"/>
    <w:rsid w:val="00A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E759"/>
  <w15:chartTrackingRefBased/>
  <w15:docId w15:val="{03570309-22A3-4E5D-8C17-5A25B7C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24">
    <w:name w:val="s24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39">
    <w:name w:val="s39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paragraph" w:customStyle="1" w:styleId="s44">
    <w:name w:val="s44"/>
    <w:basedOn w:val="a"/>
    <w:rsid w:val="00AB1940"/>
    <w:pPr>
      <w:spacing w:before="100" w:beforeAutospacing="1" w:after="100" w:afterAutospacing="1"/>
    </w:pPr>
    <w:rPr>
      <w:rFonts w:eastAsia="Calibri"/>
      <w:bCs w:val="0"/>
      <w:szCs w:val="24"/>
    </w:rPr>
  </w:style>
  <w:style w:type="character" w:customStyle="1" w:styleId="bumpedfont15">
    <w:name w:val="bumpedfont15"/>
    <w:basedOn w:val="a0"/>
    <w:rsid w:val="00AB1940"/>
  </w:style>
  <w:style w:type="paragraph" w:customStyle="1" w:styleId="s4">
    <w:name w:val="s4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7">
    <w:name w:val="s7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10">
    <w:name w:val="s10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40">
    <w:name w:val="s40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56">
    <w:name w:val="s56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59">
    <w:name w:val="s59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61">
    <w:name w:val="s61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paragraph" w:customStyle="1" w:styleId="s62">
    <w:name w:val="s62"/>
    <w:basedOn w:val="a"/>
    <w:rsid w:val="009A4032"/>
    <w:pPr>
      <w:spacing w:before="100" w:beforeAutospacing="1" w:after="100" w:afterAutospacing="1"/>
    </w:pPr>
    <w:rPr>
      <w:rFonts w:eastAsiaTheme="minorHAnsi"/>
      <w:bCs w:val="0"/>
      <w:szCs w:val="24"/>
    </w:rPr>
  </w:style>
  <w:style w:type="character" w:customStyle="1" w:styleId="s11">
    <w:name w:val="s11"/>
    <w:basedOn w:val="a0"/>
    <w:rsid w:val="009A4032"/>
  </w:style>
  <w:style w:type="character" w:customStyle="1" w:styleId="s58">
    <w:name w:val="s58"/>
    <w:basedOn w:val="a0"/>
    <w:rsid w:val="009A4032"/>
  </w:style>
  <w:style w:type="character" w:customStyle="1" w:styleId="s67">
    <w:name w:val="s67"/>
    <w:basedOn w:val="a0"/>
    <w:rsid w:val="009A4032"/>
  </w:style>
  <w:style w:type="character" w:customStyle="1" w:styleId="s68">
    <w:name w:val="s68"/>
    <w:basedOn w:val="a0"/>
    <w:rsid w:val="009A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2023-03-27T07:51:00Z</dcterms:created>
  <dcterms:modified xsi:type="dcterms:W3CDTF">2023-03-27T07:51:00Z</dcterms:modified>
</cp:coreProperties>
</file>